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8" w:rsidRPr="007526E8" w:rsidRDefault="007526E8" w:rsidP="007526E8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  <w:t>Ответственность за заведомо ложное сообщение о готовящемся взрыве</w:t>
      </w:r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Выписка из Уголовного Кодекса Российской Федерации</w:t>
      </w:r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1. </w:t>
      </w:r>
      <w:proofErr w:type="gramStart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—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</w:t>
      </w:r>
      <w:proofErr w:type="gramEnd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срок до трех лет, либо принудительными работами на срок от двух до трех лет.</w:t>
      </w:r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2. </w:t>
      </w:r>
      <w:proofErr w:type="gramStart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Деяние, предусмотренное частью первой настоящей статьи, совершенное в отношении объектов социальной инфраструктуры либо повлекшее причинение крупного ущерба, —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3. </w:t>
      </w:r>
      <w:proofErr w:type="gramStart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—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</w:t>
      </w:r>
      <w:proofErr w:type="gramEnd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свободы на срок от шести до восьми лет.</w:t>
      </w:r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4. </w:t>
      </w:r>
      <w:proofErr w:type="gramStart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Деяния, предусмотренные частями первой, второй или третьей настоящей статьи, повлекшие по неосторожности смерть человека или иные тяжкие последствия, —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</w:t>
      </w:r>
      <w:proofErr w:type="gramEnd"/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Примечания</w:t>
      </w:r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1. Крупным ущербом в настоящей статье признается ущерб, сумма которого превышает один миллион рублей.</w:t>
      </w:r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2. 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 инфраструктуры. </w:t>
      </w:r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Комментарии</w:t>
      </w:r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lastRenderedPageBreak/>
        <w:t xml:space="preserve">Объективная сторона преступления заключается в </w:t>
      </w:r>
      <w:proofErr w:type="gramStart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доведении</w:t>
      </w:r>
      <w:proofErr w:type="gramEnd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до сведения определенных субъектов ложных сведений о готовящемся террористическом акте. Такое сообщение может быть выражено в любой форме (устно, письменно, с помощью сре</w:t>
      </w:r>
      <w:proofErr w:type="gramStart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дств св</w:t>
      </w:r>
      <w:proofErr w:type="gramEnd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язи). Адресатом сведений выступают две категории лиц: а) органы и организации, которые по роду своей деятельности должны реагировать на подобные сообщения; б) организации, учреждения или отдельные лица, в месте нахождения которых якобы намечено совершение террористического акта. Преступление окончено с момента получения соответствующего сообщения адресатом. 3. Субъективная сторона рассматриваемого преступления характеризуется прямым умыслом. Обязательным условием наступления уголовной ответственности является осознание виновным ложности сообщаемой им информации.</w:t>
      </w:r>
    </w:p>
    <w:p w:rsidR="007526E8" w:rsidRPr="007526E8" w:rsidRDefault="007526E8" w:rsidP="007526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proofErr w:type="gramStart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Субъективная сторона составов преступления характеризуется виной в виде прямого умысла, предполагающего как осознание субъектом преступления несоответствия действительности передаваемых им сведений о готовящемся акте терроризма, так и их целевое назначение - нагнетание страха на граждан и введение адресатов сообщения в заблуждение о наличии угрозы общественной безопасности для инициирования принятия ими соответствующих чрезвычайных мер.</w:t>
      </w:r>
      <w:proofErr w:type="gramEnd"/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Мотивы не имеют значения для квалификации (личные, националистические, политические, хулиганские и т.д.). Ошибка лица в достоверности сообщаемых сведений исключает уголовную ответственность. Субъектом преступного посягательства является вменяемое лицо, достигшее к моменту совершения преступления 14 лет. Заведомо ложное сообщение об акте терроризма относится к категории преступлений средней тяжести.</w:t>
      </w:r>
      <w:r w:rsidRPr="007526E8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 </w:t>
      </w:r>
    </w:p>
    <w:p w:rsidR="00464E78" w:rsidRDefault="00464E78">
      <w:bookmarkStart w:id="0" w:name="_GoBack"/>
      <w:bookmarkEnd w:id="0"/>
    </w:p>
    <w:sectPr w:rsidR="0046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8"/>
    <w:rsid w:val="00464E78"/>
    <w:rsid w:val="007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Антитеррор_1</cp:lastModifiedBy>
  <cp:revision>1</cp:revision>
  <dcterms:created xsi:type="dcterms:W3CDTF">2019-10-29T11:24:00Z</dcterms:created>
  <dcterms:modified xsi:type="dcterms:W3CDTF">2019-10-29T11:24:00Z</dcterms:modified>
</cp:coreProperties>
</file>